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BEA5B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1C0FFE69">
      <w:pPr>
        <w:ind w:left="1876" w:leftChars="284" w:hanging="1280" w:hangingChars="400"/>
        <w:rPr>
          <w:rFonts w:eastAsia="仿宋_GB2312"/>
          <w:sz w:val="32"/>
          <w:szCs w:val="32"/>
        </w:rPr>
      </w:pPr>
    </w:p>
    <w:p w14:paraId="08971F6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val="en"/>
        </w:rPr>
        <w:t>破伤风人免疫球蛋白</w:t>
      </w:r>
      <w:r>
        <w:rPr>
          <w:rFonts w:eastAsia="方正小标宋简体"/>
          <w:sz w:val="44"/>
          <w:szCs w:val="44"/>
        </w:rPr>
        <w:t>说明书修订要求</w:t>
      </w:r>
    </w:p>
    <w:p w14:paraId="085A3346">
      <w:pPr>
        <w:spacing w:line="560" w:lineRule="exact"/>
        <w:ind w:firstLine="880" w:firstLineChars="200"/>
        <w:rPr>
          <w:rFonts w:eastAsia="方正小标宋简体"/>
          <w:sz w:val="44"/>
          <w:szCs w:val="44"/>
        </w:rPr>
      </w:pPr>
    </w:p>
    <w:p w14:paraId="57AEF14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一、【不良反应】项增加以下内容：</w:t>
      </w:r>
    </w:p>
    <w:p w14:paraId="6B01B3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上市后监测发现破伤风人免疫球蛋白有以下不良反应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事件报告：</w:t>
      </w:r>
    </w:p>
    <w:p w14:paraId="0893AE4F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给药部位反应：疼痛、肿胀、发红、硬结等；</w:t>
      </w:r>
    </w:p>
    <w:p w14:paraId="2BDC2234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全身性反应：乏力、寒战、发热、四肢或面部肿胀、面部苍白或潮红等；</w:t>
      </w:r>
    </w:p>
    <w:p w14:paraId="53B6C1A1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皮肤及皮下组织：皮疹、瘙痒、红斑、多汗、血管性水肿等；</w:t>
      </w:r>
    </w:p>
    <w:p w14:paraId="6BE878C0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神经系统：头晕、头痛、感觉减退、晕厥、嗜睡等；</w:t>
      </w:r>
    </w:p>
    <w:p w14:paraId="3578CBE1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胃肠系统：恶心、呕吐、腹泻等；</w:t>
      </w:r>
    </w:p>
    <w:p w14:paraId="4F5B13E5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免疫系统：超敏反应、过敏样反应、过敏性休克等；</w:t>
      </w:r>
    </w:p>
    <w:p w14:paraId="740234B3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心血管系统：胸部不适、心悸等；</w:t>
      </w:r>
    </w:p>
    <w:p w14:paraId="527F7701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呼吸系统：呼吸急促、呼吸困难、喉水肿等。</w:t>
      </w:r>
    </w:p>
    <w:p w14:paraId="106F4DF1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二、【注意事项】项应在说明书原有内容基础上，增加以下内容：</w:t>
      </w:r>
    </w:p>
    <w:p w14:paraId="4302E6E8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本品可能引起过敏反应，严重者可发生过敏性休克。用药前应仔细询问患者用药史和过敏史，用药过程中应密切观察，一旦出现过敏反应或其他严重不良反应，应停药并及时治疗。</w:t>
      </w:r>
    </w:p>
    <w:p w14:paraId="36165F73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有血栓栓塞危险因素的患者需注意监测血栓栓塞事件的相关症状，如肢体疼痛或肿胀、胸痛、呼吸急促、局部神经功能障碍、意识障碍等。</w:t>
      </w:r>
    </w:p>
    <w:p w14:paraId="0E2C43A5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（注：如原批准说明书的安全性内容较本修订要求内容更全面或更严格的，应保留原批准内容。说明书其他内容如与上述修订要求不一致的，应当一并进行修订。）</w:t>
      </w:r>
    </w:p>
    <w:p w14:paraId="245B0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A5"/>
    <w:rsid w:val="006756A5"/>
    <w:rsid w:val="00D67046"/>
    <w:rsid w:val="00ED426B"/>
    <w:rsid w:val="2DE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479</Characters>
  <Lines>3</Lines>
  <Paragraphs>1</Paragraphs>
  <TotalTime>1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2024-12-25T03:10:00Z</dcterms:created>
  <dc:creator>pc</dc:creator>
  <cp:lastModifiedBy>z</cp:lastModifiedBy>
  <dcterms:modified xsi:type="dcterms:W3CDTF">2025-02-05T00:46:21Z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DD5BC79EDEAA440DA5ACCAFC34CFFAA4_13</vt:lpwstr>
  </property>
</Properties>
</file>